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9889"/>
      </w:tblGrid>
      <w:tr w:rsidR="00AF44EF" w:rsidTr="00394C57">
        <w:tc>
          <w:tcPr>
            <w:tcW w:w="9889" w:type="dxa"/>
            <w:hideMark/>
          </w:tcPr>
          <w:p w:rsidR="00AF44EF" w:rsidRDefault="00AF44EF" w:rsidP="00394C5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185F185" wp14:editId="3A8F5CA6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-1270</wp:posOffset>
                  </wp:positionV>
                  <wp:extent cx="713740" cy="953770"/>
                  <wp:effectExtent l="0" t="0" r="0" b="0"/>
                  <wp:wrapSquare wrapText="bothSides"/>
                  <wp:docPr id="1" name="Рисунок 1" descr="Герб ППО (вектор) чер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ППО (вектор) чер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740" cy="953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F44EF" w:rsidTr="00394C57">
        <w:tc>
          <w:tcPr>
            <w:tcW w:w="9889" w:type="dxa"/>
          </w:tcPr>
          <w:p w:rsidR="00AF44EF" w:rsidRDefault="00AF44EF" w:rsidP="00394C57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AF44EF" w:rsidRDefault="00301C4A" w:rsidP="00301C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lang w:eastAsia="en-US"/>
              </w:rPr>
              <w:t xml:space="preserve">МИНИСТЕРСТВО </w:t>
            </w:r>
            <w:r w:rsidR="00AF44EF">
              <w:rPr>
                <w:b/>
                <w:sz w:val="28"/>
                <w:lang w:eastAsia="en-US"/>
              </w:rPr>
              <w:t xml:space="preserve">КУЛЬТУРЫ И </w:t>
            </w:r>
            <w:r>
              <w:rPr>
                <w:b/>
                <w:sz w:val="28"/>
                <w:lang w:eastAsia="en-US"/>
              </w:rPr>
              <w:t>ТУРИЗМА</w:t>
            </w:r>
            <w:r w:rsidR="00AF44EF">
              <w:rPr>
                <w:b/>
                <w:sz w:val="28"/>
                <w:lang w:eastAsia="en-US"/>
              </w:rPr>
              <w:t xml:space="preserve"> ПЕНЗЕНСКОЙ  ОБЛАСТИ</w:t>
            </w:r>
          </w:p>
        </w:tc>
      </w:tr>
      <w:tr w:rsidR="00AF44EF" w:rsidTr="00394C57">
        <w:tc>
          <w:tcPr>
            <w:tcW w:w="9889" w:type="dxa"/>
          </w:tcPr>
          <w:p w:rsidR="00AF44EF" w:rsidRDefault="00AF44EF" w:rsidP="00394C57">
            <w:pPr>
              <w:spacing w:line="276" w:lineRule="auto"/>
              <w:rPr>
                <w:lang w:eastAsia="en-US"/>
              </w:rPr>
            </w:pPr>
          </w:p>
          <w:p w:rsidR="00AF44EF" w:rsidRDefault="00AF44EF" w:rsidP="00394C57">
            <w:pPr>
              <w:spacing w:line="276" w:lineRule="auto"/>
              <w:rPr>
                <w:lang w:eastAsia="en-US"/>
              </w:rPr>
            </w:pPr>
          </w:p>
        </w:tc>
      </w:tr>
      <w:tr w:rsidR="00AF44EF" w:rsidTr="00394C57">
        <w:tc>
          <w:tcPr>
            <w:tcW w:w="9889" w:type="dxa"/>
            <w:hideMark/>
          </w:tcPr>
          <w:p w:rsidR="00AF44EF" w:rsidRDefault="00AF44EF" w:rsidP="00394C57">
            <w:pPr>
              <w:spacing w:line="276" w:lineRule="auto"/>
              <w:jc w:val="center"/>
              <w:rPr>
                <w:b/>
                <w:sz w:val="40"/>
                <w:szCs w:val="40"/>
                <w:lang w:eastAsia="en-US"/>
              </w:rPr>
            </w:pPr>
            <w:proofErr w:type="gramStart"/>
            <w:r>
              <w:rPr>
                <w:b/>
                <w:sz w:val="40"/>
                <w:szCs w:val="40"/>
                <w:lang w:eastAsia="en-US"/>
              </w:rPr>
              <w:t>П</w:t>
            </w:r>
            <w:proofErr w:type="gramEnd"/>
            <w:r>
              <w:rPr>
                <w:b/>
                <w:sz w:val="40"/>
                <w:szCs w:val="40"/>
                <w:lang w:eastAsia="en-US"/>
              </w:rPr>
              <w:t xml:space="preserve"> Р И К А З</w:t>
            </w:r>
          </w:p>
        </w:tc>
      </w:tr>
      <w:tr w:rsidR="00AF44EF" w:rsidTr="00394C57">
        <w:tc>
          <w:tcPr>
            <w:tcW w:w="9889" w:type="dxa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AF44EF" w:rsidRPr="008A7260" w:rsidTr="00394C57">
              <w:trPr>
                <w:jc w:val="center"/>
              </w:trPr>
              <w:tc>
                <w:tcPr>
                  <w:tcW w:w="284" w:type="dxa"/>
                  <w:vAlign w:val="bottom"/>
                  <w:hideMark/>
                </w:tcPr>
                <w:p w:rsidR="00AF44EF" w:rsidRPr="008A7260" w:rsidRDefault="00AF44EF" w:rsidP="00394C57">
                  <w:pPr>
                    <w:widowControl/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A7260">
                    <w:rPr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F44EF" w:rsidRPr="008A7260" w:rsidRDefault="00477467" w:rsidP="00477467">
                  <w:pPr>
                    <w:widowControl/>
                    <w:tabs>
                      <w:tab w:val="left" w:pos="530"/>
                      <w:tab w:val="center" w:pos="1417"/>
                    </w:tabs>
                    <w:spacing w:line="276" w:lineRule="auto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    25 февраля </w:t>
                  </w:r>
                  <w:r w:rsidR="008A7260" w:rsidRPr="008A7260">
                    <w:rPr>
                      <w:sz w:val="28"/>
                      <w:szCs w:val="28"/>
                      <w:lang w:val="en-US" w:eastAsia="en-US"/>
                    </w:rPr>
                    <w:t xml:space="preserve">2020 </w:t>
                  </w:r>
                  <w:r w:rsidR="008A7260" w:rsidRPr="008A7260">
                    <w:rPr>
                      <w:sz w:val="28"/>
                      <w:szCs w:val="28"/>
                      <w:lang w:eastAsia="en-US"/>
                    </w:rPr>
                    <w:t>г.</w:t>
                  </w:r>
                </w:p>
              </w:tc>
              <w:tc>
                <w:tcPr>
                  <w:tcW w:w="397" w:type="dxa"/>
                  <w:hideMark/>
                </w:tcPr>
                <w:p w:rsidR="00AF44EF" w:rsidRPr="008A7260" w:rsidRDefault="00AF44EF" w:rsidP="00394C57">
                  <w:pPr>
                    <w:widowControl/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 w:rsidRPr="008A7260">
                    <w:rPr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AF44EF" w:rsidRPr="008A7260" w:rsidRDefault="00477467" w:rsidP="001640B6">
                  <w:pPr>
                    <w:widowControl/>
                    <w:spacing w:line="276" w:lineRule="auto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15-03/12</w:t>
                  </w:r>
                </w:p>
              </w:tc>
            </w:tr>
            <w:tr w:rsidR="00AF44EF" w:rsidTr="00034EB4">
              <w:trPr>
                <w:trHeight w:val="468"/>
                <w:jc w:val="center"/>
              </w:trPr>
              <w:tc>
                <w:tcPr>
                  <w:tcW w:w="4650" w:type="dxa"/>
                  <w:gridSpan w:val="4"/>
                  <w:hideMark/>
                </w:tcPr>
                <w:p w:rsidR="00AF44EF" w:rsidRDefault="00AF44EF" w:rsidP="00394C57">
                  <w:pPr>
                    <w:widowControl/>
                    <w:spacing w:line="276" w:lineRule="auto"/>
                    <w:jc w:val="center"/>
                    <w:rPr>
                      <w:sz w:val="10"/>
                      <w:lang w:eastAsia="en-US"/>
                    </w:rPr>
                  </w:pPr>
                </w:p>
                <w:p w:rsidR="006E345E" w:rsidRDefault="00AF44EF" w:rsidP="00E53BCB">
                  <w:pPr>
                    <w:widowControl/>
                    <w:spacing w:line="276" w:lineRule="auto"/>
                    <w:jc w:val="center"/>
                  </w:pPr>
                  <w:r>
                    <w:rPr>
                      <w:sz w:val="24"/>
                      <w:lang w:eastAsia="en-US"/>
                    </w:rPr>
                    <w:t>г.</w:t>
                  </w:r>
                  <w:r w:rsidR="00DC62D1">
                    <w:rPr>
                      <w:sz w:val="24"/>
                      <w:lang w:eastAsia="en-US"/>
                    </w:rPr>
                    <w:t xml:space="preserve"> </w:t>
                  </w:r>
                  <w:r>
                    <w:rPr>
                      <w:sz w:val="24"/>
                      <w:lang w:eastAsia="en-US"/>
                    </w:rPr>
                    <w:t>Пенза</w:t>
                  </w:r>
                  <w:r w:rsidR="00034EB4" w:rsidRPr="00034EB4">
                    <w:t xml:space="preserve">  </w:t>
                  </w:r>
                </w:p>
                <w:p w:rsidR="004C13AE" w:rsidRPr="00034EB4" w:rsidRDefault="00034EB4" w:rsidP="00E53BCB">
                  <w:pPr>
                    <w:widowControl/>
                    <w:spacing w:line="276" w:lineRule="auto"/>
                    <w:jc w:val="center"/>
                  </w:pPr>
                  <w:r w:rsidRPr="00034EB4">
                    <w:t xml:space="preserve">        </w:t>
                  </w:r>
                  <w:r>
                    <w:t xml:space="preserve">                   </w:t>
                  </w:r>
                </w:p>
              </w:tc>
            </w:tr>
          </w:tbl>
          <w:p w:rsidR="00AF44EF" w:rsidRPr="004C13AE" w:rsidRDefault="00AF44EF" w:rsidP="00394C57">
            <w:pPr>
              <w:widowControl/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E345E" w:rsidRDefault="00363DB9" w:rsidP="00363DB9">
      <w:pPr>
        <w:pStyle w:val="21"/>
        <w:tabs>
          <w:tab w:val="left" w:pos="7371"/>
        </w:tabs>
        <w:ind w:firstLine="0"/>
        <w:jc w:val="center"/>
        <w:rPr>
          <w:b/>
          <w:sz w:val="28"/>
          <w:szCs w:val="28"/>
        </w:rPr>
      </w:pPr>
      <w:r w:rsidRPr="005A739A">
        <w:rPr>
          <w:b/>
          <w:sz w:val="28"/>
          <w:szCs w:val="28"/>
        </w:rPr>
        <w:t>О внесении изменени</w:t>
      </w:r>
      <w:r w:rsidR="009F3598" w:rsidRPr="005A739A">
        <w:rPr>
          <w:b/>
          <w:sz w:val="28"/>
          <w:szCs w:val="28"/>
        </w:rPr>
        <w:t>я</w:t>
      </w:r>
      <w:r w:rsidRPr="005A739A">
        <w:rPr>
          <w:b/>
          <w:sz w:val="28"/>
          <w:szCs w:val="28"/>
        </w:rPr>
        <w:t xml:space="preserve"> в приказ Министерств</w:t>
      </w:r>
      <w:r w:rsidR="009C20E2">
        <w:rPr>
          <w:b/>
          <w:sz w:val="28"/>
          <w:szCs w:val="28"/>
        </w:rPr>
        <w:t>а</w:t>
      </w:r>
      <w:r w:rsidRPr="005A739A">
        <w:rPr>
          <w:b/>
          <w:sz w:val="28"/>
          <w:szCs w:val="28"/>
        </w:rPr>
        <w:t xml:space="preserve"> культуры и туризма Пензенской области от 17.04.2017 № 13-03/43</w:t>
      </w:r>
      <w:r w:rsidR="000A43C6" w:rsidRPr="005A739A">
        <w:rPr>
          <w:b/>
          <w:sz w:val="28"/>
          <w:szCs w:val="28"/>
        </w:rPr>
        <w:t xml:space="preserve"> </w:t>
      </w:r>
      <w:r w:rsidR="005D6C36">
        <w:rPr>
          <w:b/>
          <w:sz w:val="28"/>
          <w:szCs w:val="28"/>
        </w:rPr>
        <w:t xml:space="preserve">                                                                  </w:t>
      </w:r>
      <w:r w:rsidR="000A43C6" w:rsidRPr="005A739A">
        <w:rPr>
          <w:b/>
          <w:sz w:val="28"/>
          <w:szCs w:val="28"/>
        </w:rPr>
        <w:t>(с последующими изменениями)</w:t>
      </w:r>
    </w:p>
    <w:p w:rsidR="006E345E" w:rsidRDefault="006E345E" w:rsidP="00363DB9">
      <w:pPr>
        <w:pStyle w:val="21"/>
        <w:tabs>
          <w:tab w:val="left" w:pos="7371"/>
        </w:tabs>
        <w:ind w:firstLine="0"/>
        <w:jc w:val="center"/>
        <w:rPr>
          <w:b/>
          <w:sz w:val="28"/>
          <w:szCs w:val="28"/>
        </w:rPr>
      </w:pPr>
      <w:bookmarkStart w:id="0" w:name="_GoBack"/>
      <w:bookmarkEnd w:id="0"/>
    </w:p>
    <w:p w:rsidR="00363DB9" w:rsidRPr="005A739A" w:rsidRDefault="00363DB9" w:rsidP="00363DB9">
      <w:pPr>
        <w:pStyle w:val="21"/>
        <w:tabs>
          <w:tab w:val="left" w:pos="7371"/>
        </w:tabs>
        <w:ind w:firstLine="0"/>
        <w:jc w:val="center"/>
        <w:rPr>
          <w:b/>
          <w:sz w:val="28"/>
          <w:szCs w:val="28"/>
        </w:rPr>
      </w:pPr>
      <w:r w:rsidRPr="005A739A">
        <w:rPr>
          <w:b/>
          <w:sz w:val="28"/>
          <w:szCs w:val="28"/>
        </w:rPr>
        <w:t xml:space="preserve"> </w:t>
      </w:r>
    </w:p>
    <w:p w:rsidR="00363DB9" w:rsidRPr="005A739A" w:rsidRDefault="00363DB9" w:rsidP="005A739A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 w:rsidRPr="005A739A">
        <w:rPr>
          <w:sz w:val="28"/>
          <w:szCs w:val="28"/>
        </w:rPr>
        <w:t xml:space="preserve">        Руководствуясь Законом Пензенской области от 2</w:t>
      </w:r>
      <w:r w:rsidR="008A7260">
        <w:rPr>
          <w:sz w:val="28"/>
          <w:szCs w:val="28"/>
        </w:rPr>
        <w:t>3</w:t>
      </w:r>
      <w:r w:rsidRPr="005A739A">
        <w:rPr>
          <w:sz w:val="28"/>
          <w:szCs w:val="28"/>
        </w:rPr>
        <w:t>.12.201</w:t>
      </w:r>
      <w:r w:rsidR="008A7260">
        <w:rPr>
          <w:sz w:val="28"/>
          <w:szCs w:val="28"/>
        </w:rPr>
        <w:t>9</w:t>
      </w:r>
      <w:r w:rsidRPr="005A739A">
        <w:rPr>
          <w:sz w:val="28"/>
          <w:szCs w:val="28"/>
        </w:rPr>
        <w:t xml:space="preserve"> № </w:t>
      </w:r>
      <w:r w:rsidR="00B83A6F" w:rsidRPr="005A739A">
        <w:rPr>
          <w:sz w:val="28"/>
          <w:szCs w:val="28"/>
        </w:rPr>
        <w:t>3</w:t>
      </w:r>
      <w:r w:rsidR="008A7260">
        <w:rPr>
          <w:sz w:val="28"/>
          <w:szCs w:val="28"/>
        </w:rPr>
        <w:t>4</w:t>
      </w:r>
      <w:r w:rsidR="001C0C5B" w:rsidRPr="001C0C5B">
        <w:rPr>
          <w:sz w:val="28"/>
          <w:szCs w:val="28"/>
        </w:rPr>
        <w:t>3</w:t>
      </w:r>
      <w:r w:rsidR="008A7260">
        <w:rPr>
          <w:sz w:val="28"/>
          <w:szCs w:val="28"/>
        </w:rPr>
        <w:t>5</w:t>
      </w:r>
      <w:r w:rsidRPr="005A739A">
        <w:rPr>
          <w:sz w:val="28"/>
          <w:szCs w:val="28"/>
        </w:rPr>
        <w:t xml:space="preserve">-ЗПО                        «О бюджете Пензенской области на </w:t>
      </w:r>
      <w:r w:rsidR="002640FB">
        <w:rPr>
          <w:sz w:val="28"/>
          <w:szCs w:val="28"/>
        </w:rPr>
        <w:t>20</w:t>
      </w:r>
      <w:r w:rsidR="008A7260">
        <w:rPr>
          <w:sz w:val="28"/>
          <w:szCs w:val="28"/>
        </w:rPr>
        <w:t>20</w:t>
      </w:r>
      <w:r w:rsidRPr="005A739A">
        <w:rPr>
          <w:sz w:val="28"/>
          <w:szCs w:val="28"/>
        </w:rPr>
        <w:t xml:space="preserve"> и на плановый период 20</w:t>
      </w:r>
      <w:r w:rsidR="002640FB">
        <w:rPr>
          <w:sz w:val="28"/>
          <w:szCs w:val="28"/>
        </w:rPr>
        <w:t>2</w:t>
      </w:r>
      <w:r w:rsidR="008A7260">
        <w:rPr>
          <w:sz w:val="28"/>
          <w:szCs w:val="28"/>
        </w:rPr>
        <w:t>1</w:t>
      </w:r>
      <w:r w:rsidRPr="005A739A">
        <w:rPr>
          <w:sz w:val="28"/>
          <w:szCs w:val="28"/>
        </w:rPr>
        <w:t xml:space="preserve"> и 20</w:t>
      </w:r>
      <w:r w:rsidR="00B83A6F" w:rsidRPr="005A739A">
        <w:rPr>
          <w:sz w:val="28"/>
          <w:szCs w:val="28"/>
        </w:rPr>
        <w:t>2</w:t>
      </w:r>
      <w:r w:rsidR="008A7260">
        <w:rPr>
          <w:sz w:val="28"/>
          <w:szCs w:val="28"/>
        </w:rPr>
        <w:t>2</w:t>
      </w:r>
      <w:r w:rsidRPr="005A739A">
        <w:rPr>
          <w:sz w:val="28"/>
          <w:szCs w:val="28"/>
        </w:rPr>
        <w:t xml:space="preserve"> годов»,</w:t>
      </w:r>
      <w:r w:rsidR="00D318B2" w:rsidRPr="005A739A">
        <w:rPr>
          <w:sz w:val="28"/>
          <w:szCs w:val="28"/>
        </w:rPr>
        <w:t xml:space="preserve"> </w:t>
      </w:r>
      <w:r w:rsidRPr="005A739A">
        <w:rPr>
          <w:sz w:val="28"/>
          <w:szCs w:val="28"/>
        </w:rPr>
        <w:t xml:space="preserve">Положением о </w:t>
      </w:r>
      <w:r w:rsidR="00E53BCB" w:rsidRPr="005A739A">
        <w:rPr>
          <w:sz w:val="28"/>
          <w:szCs w:val="28"/>
        </w:rPr>
        <w:t>Министерстве</w:t>
      </w:r>
      <w:r w:rsidRPr="005A739A">
        <w:rPr>
          <w:sz w:val="28"/>
          <w:szCs w:val="28"/>
        </w:rPr>
        <w:t xml:space="preserve"> культуры и </w:t>
      </w:r>
      <w:r w:rsidR="00E53BCB" w:rsidRPr="005A739A">
        <w:rPr>
          <w:sz w:val="28"/>
          <w:szCs w:val="28"/>
        </w:rPr>
        <w:t>туризма</w:t>
      </w:r>
      <w:r w:rsidRPr="005A739A">
        <w:rPr>
          <w:sz w:val="28"/>
          <w:szCs w:val="28"/>
        </w:rPr>
        <w:t xml:space="preserve"> Пензенской области, утвержденным постановлением Правительства Пензенской области </w:t>
      </w:r>
      <w:r w:rsidR="005A739A">
        <w:rPr>
          <w:sz w:val="28"/>
          <w:szCs w:val="28"/>
        </w:rPr>
        <w:t xml:space="preserve">                           </w:t>
      </w:r>
      <w:r w:rsidRPr="005A739A">
        <w:rPr>
          <w:sz w:val="28"/>
          <w:szCs w:val="28"/>
        </w:rPr>
        <w:t>от 30.01.2017 № 31-пП</w:t>
      </w:r>
      <w:r w:rsidR="005A739A">
        <w:rPr>
          <w:sz w:val="28"/>
          <w:szCs w:val="28"/>
        </w:rPr>
        <w:t xml:space="preserve"> </w:t>
      </w:r>
      <w:r w:rsidRPr="005A739A">
        <w:rPr>
          <w:sz w:val="28"/>
          <w:szCs w:val="28"/>
        </w:rPr>
        <w:t xml:space="preserve">«Об утверждении Положения о </w:t>
      </w:r>
      <w:r w:rsidR="00D26461" w:rsidRPr="005A739A">
        <w:rPr>
          <w:sz w:val="28"/>
          <w:szCs w:val="28"/>
        </w:rPr>
        <w:t>Министерстве</w:t>
      </w:r>
      <w:r w:rsidRPr="005A739A">
        <w:rPr>
          <w:sz w:val="28"/>
          <w:szCs w:val="28"/>
        </w:rPr>
        <w:t xml:space="preserve"> культуры и </w:t>
      </w:r>
      <w:r w:rsidR="00D26461" w:rsidRPr="005A739A">
        <w:rPr>
          <w:sz w:val="28"/>
          <w:szCs w:val="28"/>
        </w:rPr>
        <w:t>туризма</w:t>
      </w:r>
      <w:r w:rsidRPr="005A739A">
        <w:rPr>
          <w:sz w:val="28"/>
          <w:szCs w:val="28"/>
        </w:rPr>
        <w:t xml:space="preserve"> Пензенской области</w:t>
      </w:r>
      <w:r w:rsidR="005A739A">
        <w:rPr>
          <w:sz w:val="28"/>
          <w:szCs w:val="28"/>
        </w:rPr>
        <w:t xml:space="preserve"> </w:t>
      </w:r>
      <w:r w:rsidRPr="005A739A">
        <w:rPr>
          <w:sz w:val="28"/>
          <w:szCs w:val="28"/>
        </w:rPr>
        <w:t xml:space="preserve">(с последующими изменениями), </w:t>
      </w:r>
      <w:r w:rsidR="005A739A">
        <w:rPr>
          <w:sz w:val="28"/>
          <w:szCs w:val="28"/>
        </w:rPr>
        <w:t xml:space="preserve">                                   </w:t>
      </w:r>
      <w:proofErr w:type="gramStart"/>
      <w:r w:rsidRPr="005A739A">
        <w:rPr>
          <w:b/>
          <w:sz w:val="28"/>
          <w:szCs w:val="28"/>
        </w:rPr>
        <w:t>п</w:t>
      </w:r>
      <w:proofErr w:type="gramEnd"/>
      <w:r w:rsidRPr="005A739A">
        <w:rPr>
          <w:b/>
          <w:sz w:val="28"/>
          <w:szCs w:val="28"/>
        </w:rPr>
        <w:t xml:space="preserve"> р и к а з ы в а ю:</w:t>
      </w:r>
      <w:r w:rsidRPr="005A739A">
        <w:rPr>
          <w:sz w:val="28"/>
          <w:szCs w:val="28"/>
        </w:rPr>
        <w:t xml:space="preserve">      </w:t>
      </w:r>
    </w:p>
    <w:p w:rsidR="002640FB" w:rsidRDefault="005A739A" w:rsidP="008E6207">
      <w:pPr>
        <w:pStyle w:val="ConsPlusTitle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363DB9" w:rsidRPr="005A739A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="00363DB9" w:rsidRPr="005A739A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6E4415">
        <w:rPr>
          <w:rFonts w:ascii="Times New Roman" w:hAnsi="Times New Roman" w:cs="Times New Roman"/>
          <w:b w:val="0"/>
          <w:sz w:val="28"/>
          <w:szCs w:val="28"/>
        </w:rPr>
        <w:t xml:space="preserve">изменение </w:t>
      </w:r>
      <w:r w:rsidR="00363DB9" w:rsidRPr="005A739A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F3598" w:rsidRPr="005A739A">
        <w:rPr>
          <w:rFonts w:ascii="Times New Roman" w:hAnsi="Times New Roman" w:cs="Times New Roman"/>
          <w:b w:val="0"/>
          <w:sz w:val="28"/>
          <w:szCs w:val="28"/>
        </w:rPr>
        <w:t>приложение «Перечень доходов бюджета Пензенской области, главным администратором и администратором которых является Министерство культуры</w:t>
      </w:r>
      <w:r w:rsidR="004832BA" w:rsidRPr="005A73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3598" w:rsidRPr="005A739A">
        <w:rPr>
          <w:rFonts w:ascii="Times New Roman" w:hAnsi="Times New Roman" w:cs="Times New Roman"/>
          <w:b w:val="0"/>
          <w:sz w:val="28"/>
          <w:szCs w:val="28"/>
        </w:rPr>
        <w:t xml:space="preserve">и туризма Пензенской области» к 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приказ</w:t>
      </w:r>
      <w:r w:rsidR="004832BA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Министерства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культуры и 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туризма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Пензенской области</w:t>
      </w:r>
      <w:r w:rsidR="009F3598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 1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.0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4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.201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7</w:t>
      </w:r>
      <w:r w:rsidR="008E620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№ 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13-03/43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«Об осуществлении 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Министерством 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культуры</w:t>
      </w:r>
      <w:r w:rsidR="004832BA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и </w:t>
      </w:r>
      <w:r w:rsidR="00813491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туризма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Пензенской области бюджетных полномочий главного администратора </w:t>
      </w:r>
      <w:r w:rsidR="008E620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 администратора доходов бюджета Пензенской области»</w:t>
      </w:r>
      <w:r w:rsidR="00E16DB7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(с последующими изменениями)</w:t>
      </w:r>
      <w:r w:rsidR="009C20E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</w:t>
      </w:r>
      <w:r w:rsidR="00363DB9" w:rsidRPr="005A739A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6E44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изложив его в новой редакции согласно</w:t>
      </w:r>
      <w:proofErr w:type="gramEnd"/>
      <w:r w:rsidR="006E44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приложени</w:t>
      </w:r>
      <w:r w:rsidR="009C20E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ю</w:t>
      </w:r>
      <w:r w:rsidR="006E44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="008E620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                       </w:t>
      </w:r>
      <w:r w:rsidR="006E4415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 настоящему приказу</w:t>
      </w:r>
      <w:r w:rsidR="008E6207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4C13AE" w:rsidRPr="008A7260" w:rsidRDefault="002640FB" w:rsidP="008A726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       </w:t>
      </w:r>
      <w:r w:rsidR="0005123F" w:rsidRPr="008A7260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2</w:t>
      </w:r>
      <w:r w:rsidR="004C13AE" w:rsidRPr="008A7260">
        <w:rPr>
          <w:rFonts w:ascii="Times New Roman" w:hAnsi="Times New Roman" w:cs="Times New Roman"/>
          <w:b w:val="0"/>
          <w:sz w:val="28"/>
          <w:szCs w:val="28"/>
        </w:rPr>
        <w:t xml:space="preserve">. Настоящий приказ разместить (опубликовать) на официальном сайте </w:t>
      </w:r>
      <w:r w:rsidR="00EE069A" w:rsidRPr="008A7260">
        <w:rPr>
          <w:rFonts w:ascii="Times New Roman" w:hAnsi="Times New Roman" w:cs="Times New Roman"/>
          <w:b w:val="0"/>
          <w:sz w:val="28"/>
          <w:szCs w:val="28"/>
        </w:rPr>
        <w:t xml:space="preserve">Министерства </w:t>
      </w:r>
      <w:r w:rsidR="004C13AE" w:rsidRPr="008A7260">
        <w:rPr>
          <w:rFonts w:ascii="Times New Roman" w:hAnsi="Times New Roman" w:cs="Times New Roman"/>
          <w:b w:val="0"/>
          <w:sz w:val="28"/>
          <w:szCs w:val="28"/>
        </w:rPr>
        <w:t xml:space="preserve">культуры и </w:t>
      </w:r>
      <w:r w:rsidR="00EE069A" w:rsidRPr="008A7260">
        <w:rPr>
          <w:rFonts w:ascii="Times New Roman" w:hAnsi="Times New Roman" w:cs="Times New Roman"/>
          <w:b w:val="0"/>
          <w:sz w:val="28"/>
          <w:szCs w:val="28"/>
        </w:rPr>
        <w:t>туризма</w:t>
      </w:r>
      <w:r w:rsidR="004C13AE" w:rsidRPr="008A7260">
        <w:rPr>
          <w:rFonts w:ascii="Times New Roman" w:hAnsi="Times New Roman" w:cs="Times New Roman"/>
          <w:b w:val="0"/>
          <w:sz w:val="28"/>
          <w:szCs w:val="28"/>
        </w:rPr>
        <w:t xml:space="preserve"> Пензенской области в информационно-телекоммуникационной сети </w:t>
      </w:r>
      <w:r w:rsidR="007D57E2" w:rsidRPr="008A7260">
        <w:rPr>
          <w:rFonts w:ascii="Times New Roman" w:hAnsi="Times New Roman" w:cs="Times New Roman"/>
          <w:b w:val="0"/>
          <w:sz w:val="28"/>
          <w:szCs w:val="28"/>
        </w:rPr>
        <w:t>«</w:t>
      </w:r>
      <w:r w:rsidR="004C13AE" w:rsidRPr="008A7260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7D57E2" w:rsidRPr="008A7260">
        <w:rPr>
          <w:rFonts w:ascii="Times New Roman" w:hAnsi="Times New Roman" w:cs="Times New Roman"/>
          <w:b w:val="0"/>
          <w:sz w:val="28"/>
          <w:szCs w:val="28"/>
        </w:rPr>
        <w:t>»</w:t>
      </w:r>
      <w:r w:rsidR="004C13AE" w:rsidRPr="008A726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C13AE" w:rsidRPr="005A739A" w:rsidRDefault="006E345E" w:rsidP="006E34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5123F" w:rsidRPr="005A73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13AE" w:rsidRPr="005A73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C13AE" w:rsidRPr="005A739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начальника отдела финансов, учета и отчетности - главного бухгалтера </w:t>
      </w:r>
      <w:r w:rsidR="00337F9A" w:rsidRPr="005A739A">
        <w:rPr>
          <w:rFonts w:ascii="Times New Roman" w:hAnsi="Times New Roman" w:cs="Times New Roman"/>
          <w:sz w:val="28"/>
          <w:szCs w:val="28"/>
        </w:rPr>
        <w:t>Министерства</w:t>
      </w:r>
      <w:r w:rsidR="004C13AE" w:rsidRPr="005A739A">
        <w:rPr>
          <w:rFonts w:ascii="Times New Roman" w:hAnsi="Times New Roman" w:cs="Times New Roman"/>
          <w:sz w:val="28"/>
          <w:szCs w:val="28"/>
        </w:rPr>
        <w:t xml:space="preserve"> культуры и </w:t>
      </w:r>
      <w:r w:rsidR="00337F9A" w:rsidRPr="005A739A">
        <w:rPr>
          <w:rFonts w:ascii="Times New Roman" w:hAnsi="Times New Roman" w:cs="Times New Roman"/>
          <w:sz w:val="28"/>
          <w:szCs w:val="28"/>
        </w:rPr>
        <w:t>туризма</w:t>
      </w:r>
      <w:r w:rsidR="004C13AE" w:rsidRPr="005A739A">
        <w:rPr>
          <w:rFonts w:ascii="Times New Roman" w:hAnsi="Times New Roman" w:cs="Times New Roman"/>
          <w:sz w:val="28"/>
          <w:szCs w:val="28"/>
        </w:rPr>
        <w:t xml:space="preserve"> Пензенской области Е.В. </w:t>
      </w:r>
      <w:proofErr w:type="spellStart"/>
      <w:r w:rsidR="008A7260">
        <w:rPr>
          <w:rFonts w:ascii="Times New Roman" w:hAnsi="Times New Roman" w:cs="Times New Roman"/>
          <w:sz w:val="28"/>
          <w:szCs w:val="28"/>
        </w:rPr>
        <w:t>Ляш</w:t>
      </w:r>
      <w:r w:rsidR="004C13AE" w:rsidRPr="005A739A">
        <w:rPr>
          <w:rFonts w:ascii="Times New Roman" w:hAnsi="Times New Roman" w:cs="Times New Roman"/>
          <w:sz w:val="28"/>
          <w:szCs w:val="28"/>
        </w:rPr>
        <w:t>кову</w:t>
      </w:r>
      <w:proofErr w:type="spellEnd"/>
      <w:r w:rsidR="004C13AE" w:rsidRPr="005A739A">
        <w:rPr>
          <w:rFonts w:ascii="Times New Roman" w:hAnsi="Times New Roman" w:cs="Times New Roman"/>
          <w:sz w:val="28"/>
          <w:szCs w:val="28"/>
        </w:rPr>
        <w:t>.</w:t>
      </w:r>
    </w:p>
    <w:p w:rsidR="00AB022B" w:rsidRPr="005A739A" w:rsidRDefault="00AB022B" w:rsidP="004C13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30E1" w:rsidRPr="000A43C6" w:rsidRDefault="004730E1" w:rsidP="004C13A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348CA" w:rsidRPr="005A739A" w:rsidRDefault="00EE069A" w:rsidP="004730E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A739A">
        <w:rPr>
          <w:rFonts w:ascii="Times New Roman" w:hAnsi="Times New Roman" w:cs="Times New Roman"/>
          <w:sz w:val="28"/>
          <w:szCs w:val="28"/>
        </w:rPr>
        <w:t>Министр</w:t>
      </w:r>
      <w:r w:rsidR="00AB022B" w:rsidRPr="005A739A">
        <w:rPr>
          <w:rFonts w:ascii="Times New Roman" w:hAnsi="Times New Roman" w:cs="Times New Roman"/>
          <w:sz w:val="28"/>
          <w:szCs w:val="28"/>
        </w:rPr>
        <w:t xml:space="preserve">      </w:t>
      </w:r>
      <w:r w:rsidR="002C2D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D34D11">
        <w:rPr>
          <w:rFonts w:ascii="Times New Roman" w:hAnsi="Times New Roman" w:cs="Times New Roman"/>
          <w:sz w:val="28"/>
          <w:szCs w:val="28"/>
        </w:rPr>
        <w:t xml:space="preserve">  </w:t>
      </w:r>
      <w:r w:rsidR="002C2D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62610" w:rsidRPr="005A739A">
        <w:rPr>
          <w:rFonts w:ascii="Times New Roman" w:hAnsi="Times New Roman" w:cs="Times New Roman"/>
          <w:sz w:val="28"/>
          <w:szCs w:val="28"/>
        </w:rPr>
        <w:t xml:space="preserve">    </w:t>
      </w:r>
      <w:r w:rsidR="005A739A">
        <w:rPr>
          <w:rFonts w:ascii="Times New Roman" w:hAnsi="Times New Roman" w:cs="Times New Roman"/>
          <w:sz w:val="28"/>
          <w:szCs w:val="28"/>
        </w:rPr>
        <w:t xml:space="preserve"> </w:t>
      </w:r>
      <w:r w:rsidR="0054453A">
        <w:rPr>
          <w:rFonts w:ascii="Times New Roman" w:hAnsi="Times New Roman" w:cs="Times New Roman"/>
          <w:sz w:val="28"/>
          <w:szCs w:val="28"/>
        </w:rPr>
        <w:t xml:space="preserve"> </w:t>
      </w:r>
      <w:r w:rsidR="005A739A" w:rsidRPr="005A739A">
        <w:rPr>
          <w:rFonts w:ascii="Times New Roman" w:hAnsi="Times New Roman" w:cs="Times New Roman"/>
          <w:sz w:val="28"/>
          <w:szCs w:val="28"/>
        </w:rPr>
        <w:t>Т</w:t>
      </w:r>
      <w:r w:rsidR="00F62610" w:rsidRPr="005A739A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4730E1" w:rsidRPr="005A739A">
        <w:rPr>
          <w:rFonts w:ascii="Times New Roman" w:hAnsi="Times New Roman" w:cs="Times New Roman"/>
          <w:sz w:val="28"/>
          <w:szCs w:val="28"/>
        </w:rPr>
        <w:t>К</w:t>
      </w:r>
      <w:r w:rsidR="005A739A" w:rsidRPr="005A739A">
        <w:rPr>
          <w:rFonts w:ascii="Times New Roman" w:hAnsi="Times New Roman" w:cs="Times New Roman"/>
          <w:sz w:val="28"/>
          <w:szCs w:val="28"/>
        </w:rPr>
        <w:t>урдова</w:t>
      </w:r>
      <w:proofErr w:type="spellEnd"/>
    </w:p>
    <w:p w:rsidR="001D0F21" w:rsidRPr="009B08A5" w:rsidRDefault="001D0F21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16475" w:rsidRPr="009B08A5" w:rsidRDefault="00C16475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B08A5" w:rsidRDefault="009B08A5" w:rsidP="009B08A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к приказу </w:t>
      </w:r>
    </w:p>
    <w:p w:rsidR="009B08A5" w:rsidRDefault="009B08A5" w:rsidP="009B08A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Министерства культуры и туризма</w:t>
      </w:r>
    </w:p>
    <w:p w:rsidR="009B08A5" w:rsidRDefault="009B08A5" w:rsidP="009B08A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Пензенской области</w:t>
      </w:r>
    </w:p>
    <w:p w:rsidR="009B08A5" w:rsidRPr="00EA0048" w:rsidRDefault="009B08A5" w:rsidP="009B08A5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</w:t>
      </w:r>
      <w:r w:rsidRPr="00EA0048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25  </w:t>
      </w:r>
      <w:r w:rsidRPr="00910A7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февраля  </w:t>
      </w:r>
      <w:r w:rsidRPr="00EA0048">
        <w:rPr>
          <w:rFonts w:ascii="Times New Roman" w:hAnsi="Times New Roman" w:cs="Times New Roman"/>
          <w:b w:val="0"/>
          <w:sz w:val="28"/>
          <w:szCs w:val="28"/>
        </w:rPr>
        <w:t>2</w:t>
      </w:r>
      <w:r w:rsidRPr="009A5614">
        <w:rPr>
          <w:rFonts w:ascii="Times New Roman" w:hAnsi="Times New Roman" w:cs="Times New Roman"/>
          <w:b w:val="0"/>
          <w:sz w:val="28"/>
          <w:szCs w:val="28"/>
        </w:rPr>
        <w:t>0</w:t>
      </w:r>
      <w:r w:rsidRPr="005A43F8">
        <w:rPr>
          <w:rFonts w:ascii="Times New Roman" w:hAnsi="Times New Roman" w:cs="Times New Roman"/>
          <w:b w:val="0"/>
          <w:sz w:val="28"/>
          <w:szCs w:val="28"/>
        </w:rPr>
        <w:t>20</w:t>
      </w:r>
      <w:r w:rsidRPr="009A5614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15-03/12</w:t>
      </w:r>
    </w:p>
    <w:p w:rsidR="009B08A5" w:rsidRDefault="009B08A5" w:rsidP="009B08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08A5" w:rsidRPr="00DF31D1" w:rsidRDefault="009B08A5" w:rsidP="009B08A5">
      <w:pPr>
        <w:pStyle w:val="ConsPlusTitle"/>
        <w:tabs>
          <w:tab w:val="center" w:pos="4677"/>
          <w:tab w:val="left" w:pos="696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DF31D1">
        <w:rPr>
          <w:rFonts w:ascii="Times New Roman" w:hAnsi="Times New Roman" w:cs="Times New Roman"/>
          <w:b w:val="0"/>
          <w:sz w:val="28"/>
          <w:szCs w:val="28"/>
        </w:rPr>
        <w:t>ПЕРЕЧЕНЬ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B08A5" w:rsidRPr="00DF31D1" w:rsidRDefault="009B08A5" w:rsidP="009B08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F31D1">
        <w:rPr>
          <w:rFonts w:ascii="Times New Roman" w:hAnsi="Times New Roman" w:cs="Times New Roman"/>
          <w:b w:val="0"/>
          <w:sz w:val="28"/>
          <w:szCs w:val="28"/>
        </w:rPr>
        <w:t>доходов бюджета Пензенской области, главным администратором и администратором которых является Министерство культуры и туризма Пензенской области</w:t>
      </w:r>
    </w:p>
    <w:p w:rsidR="009B08A5" w:rsidRPr="008D22D4" w:rsidRDefault="009B08A5" w:rsidP="009B08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21"/>
      </w:tblGrid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hAnsi="Times New Roman" w:cs="Times New Roman"/>
                <w:sz w:val="24"/>
                <w:szCs w:val="24"/>
              </w:rPr>
              <w:t>Наименование кода доходов бюджета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1 08 07300 01 0000 110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государственные пошлины за совершение прочих юридически значимых действий, подлежащие зачислению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в бюджет субъекта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1 13 01072 02 0000 130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1 13 01992 02 0000 130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1 13 02062 02 0000 130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1 13 02992 02 0000 130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доходы от компенсации затрат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1 14 02022 02 0000 440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Доходы от реализации имущества, находящегося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в оперативном управлении учреждений, находящихся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1 15 02020 02 0000 140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Платежи, взимаемые государственными органами (организациями) субъектов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за выполнение определенных функций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1 16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10100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02 0000 140</w:t>
            </w:r>
          </w:p>
        </w:tc>
        <w:tc>
          <w:tcPr>
            <w:tcW w:w="6521" w:type="dxa"/>
          </w:tcPr>
          <w:p w:rsidR="009B08A5" w:rsidRPr="001C7510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1 17 01020 02 0000 180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Невыясненные поступления, зачисляемые в бюджеты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1 17 05020 02 0000 180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неналоговые доходы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2 02 25466 02 0000 150</w:t>
            </w:r>
          </w:p>
        </w:tc>
        <w:tc>
          <w:tcPr>
            <w:tcW w:w="6521" w:type="dxa"/>
          </w:tcPr>
          <w:p w:rsidR="009B08A5" w:rsidRPr="001C7510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Субсидии бюджетам субъектов Российской Федерации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2 02 25467 02 0000 150</w:t>
            </w:r>
          </w:p>
        </w:tc>
        <w:tc>
          <w:tcPr>
            <w:tcW w:w="6521" w:type="dxa"/>
          </w:tcPr>
          <w:p w:rsidR="009B08A5" w:rsidRPr="001C7510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Субсидии бюджетам субъектов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2 02 25517 02 0000 150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Субсидии бюджетам субъектов Российской Федерации на поддержку творческой деятельности и техническое оснащение детских и кукольных театров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2 02 25519 02 0000 150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Субсидия бюджетам субъектов Российской Федерации на поддержку отрасли культуры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2 02 29999 02 0000 150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субсидии бюджетам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2 02 39999 02 0000 150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субвенции бюджетам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1E68F3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1E68F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1E68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2 02 45453 02 0000 150</w:t>
            </w:r>
          </w:p>
        </w:tc>
        <w:tc>
          <w:tcPr>
            <w:tcW w:w="6521" w:type="dxa"/>
          </w:tcPr>
          <w:p w:rsidR="009B08A5" w:rsidRPr="001E68F3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68F3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субъектов Российской Федерации на создание виртуальных концертных залов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1E68F3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1E68F3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1E68F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2 02 45454 02 0000 150</w:t>
            </w:r>
          </w:p>
        </w:tc>
        <w:tc>
          <w:tcPr>
            <w:tcW w:w="6521" w:type="dxa"/>
          </w:tcPr>
          <w:p w:rsidR="009B08A5" w:rsidRPr="001E68F3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1E68F3">
              <w:rPr>
                <w:rFonts w:eastAsiaTheme="minorHAnsi"/>
                <w:sz w:val="24"/>
                <w:szCs w:val="24"/>
                <w:lang w:eastAsia="en-US"/>
              </w:rPr>
              <w:t>Межбюджетные трансферты, передаваемые бюджетам субъектов Российской Федерации на создание модельных муниципальных библиотек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584991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857 2 02 49999 02 0000 150</w:t>
            </w:r>
          </w:p>
        </w:tc>
        <w:tc>
          <w:tcPr>
            <w:tcW w:w="6521" w:type="dxa"/>
          </w:tcPr>
          <w:p w:rsidR="009B08A5" w:rsidRPr="001E68F3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Прочие межбюджетные трансферты, передаваемые бюджетам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2 03 02010 02 0000 150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Предоставление государственными (муниципальными) организациями грантов для получателей средств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</w:tcPr>
          <w:p w:rsidR="009B08A5" w:rsidRPr="00DF31D1" w:rsidRDefault="009B08A5" w:rsidP="004F4414">
            <w:pPr>
              <w:pStyle w:val="21"/>
              <w:tabs>
                <w:tab w:val="left" w:pos="7371"/>
              </w:tabs>
              <w:ind w:firstLine="0"/>
              <w:rPr>
                <w:sz w:val="24"/>
                <w:szCs w:val="24"/>
              </w:rPr>
            </w:pPr>
            <w:r w:rsidRPr="00DF31D1">
              <w:rPr>
                <w:rFonts w:eastAsiaTheme="minorHAnsi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2 03 02020 02 0000 150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2 03 02099 02 0000 150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2 07 02020 02 0000 150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субъектов Российской Федерации</w:t>
            </w:r>
          </w:p>
        </w:tc>
      </w:tr>
    </w:tbl>
    <w:p w:rsidR="009B08A5" w:rsidRDefault="009B08A5" w:rsidP="009B08A5"/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6521"/>
      </w:tblGrid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2 07 02030 02 0000 150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Прочие безвозмездные поступления в бюджеты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2 18 02010 02 0000 150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Доходы бюджетов субъектов Российской Федерации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от возврата бюджетными учреждениями остатков субсидий прошлых лет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2 18 02020 02 0000 150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Доходы бюджетов субъектов Российской Федерации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от возврата автономными учреждениями остатков субсидий прошлых лет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2 18 02030 02 0000 150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Доходы бюджетов субъектов Российской Федерации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от возврата иными организациями остатков субсидий прошлых лет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2 18 25466 02 0000 150</w:t>
            </w:r>
          </w:p>
        </w:tc>
        <w:tc>
          <w:tcPr>
            <w:tcW w:w="6521" w:type="dxa"/>
          </w:tcPr>
          <w:p w:rsidR="009B08A5" w:rsidRPr="005A12BF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бюджетов субъектов Российской Федерации от возврата остатков субсидий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из бюджетов муниципальных образований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2 18 25467 02 0000 150</w:t>
            </w:r>
          </w:p>
        </w:tc>
        <w:tc>
          <w:tcPr>
            <w:tcW w:w="6521" w:type="dxa"/>
          </w:tcPr>
          <w:p w:rsidR="009B08A5" w:rsidRPr="005A12BF" w:rsidRDefault="009B08A5" w:rsidP="004F441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Доходы бюджетов субъектов Российской Федерации от возврата остатков субсидий на обеспечение развития и укрепления материально-технической базы домов культуры в населенных пунктах с числом жителей до 50 тысяч человек из бюджетов муниципальных образований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2 18 25517 02 0000 150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Доходы бюджетов субъектов Российской Федерации от возврата остатков субсидий на поддержку творческой деятельности и техническое оснащение детских и кукольных театров из бюджетов муниципальных образований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2 18 25519 02 0000 150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Доходы бюджетов субъектов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от возврата остатков субсидий на поддержку отрасли культуры из бюджетов муниципальных образований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2 18 60010 02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6205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6521" w:type="dxa"/>
          </w:tcPr>
          <w:p w:rsidR="009B08A5" w:rsidRPr="004A572B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(от возврата остатков субсидий прошлых лет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человек)</w:t>
            </w:r>
            <w:proofErr w:type="gramEnd"/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2 18 60010 02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6218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Доходы бюджетов субъектов Российской Федерации                          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 (от возврата остатков субсидий прошлых лет на поддержку творческой деятельности и техническое оснащение детских и кукольных театров)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2 18 60010 02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6224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Доходы бюджетов субъектов Российской Федерации                          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(от возврата остатков межбюджетных трансфертов прошлых лет на поддержку отрасли культуры (подключение муниципальных общедоступных библиотек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и государственных центральных библиотек субъектов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  <w:proofErr w:type="gramEnd"/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и оцифровки))</w:t>
            </w:r>
            <w:proofErr w:type="gramEnd"/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2 18 60010 02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6225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Доходы бюджетов субъектов Российской Федерации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(от возврата остатков межбюджетных трансфертов прошлых лет на поддержку отрасли культуры (государственная поддержка муниципальных учреждений культуры, находящихся на территории сельских поселений))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2 18 60010 02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6226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Доходы бюджетов субъектов Российской Федерации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(от возврата остатков межбюджетных трансфертов прошлых лет на поддержку отрасли культуры (укрепление материально-технической базы и оснащение оборудованием детских школ искусств))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2 18 60010 02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6227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Доходы бюджетов субъектов Российской Федерации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(от возврата остатков межбюджетных трансфертов прошлых лет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Федерации))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205DA2" w:rsidRDefault="009B08A5" w:rsidP="004F44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857 2 18 60010 02 6234 150</w:t>
            </w:r>
          </w:p>
        </w:tc>
        <w:tc>
          <w:tcPr>
            <w:tcW w:w="6521" w:type="dxa"/>
          </w:tcPr>
          <w:p w:rsidR="009B08A5" w:rsidRPr="00205DA2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05DA2">
              <w:rPr>
                <w:sz w:val="24"/>
                <w:szCs w:val="24"/>
              </w:rPr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 (от возврата остатков субсидий прошлых лет на реализацию мероприятий по развитию внутреннего туризма)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2 19 25466 02 0000 150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Возврат остатков субсидий на поддержку творческой деятельности и укрепление материально-технической базы муниципальных театров в населенных пунктах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    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 с численностью населения до 300 тысяч человек из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lastRenderedPageBreak/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2 19 25467 02 0000 150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 xml:space="preserve">Возврат остатков субсидий на обеспечение развития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               </w:t>
            </w: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и укрепления материально-технической базы домов культуры в населенных пунктах с числом жителей до 50 тысяч человек из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2 19 25517 02 0000 150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Возврат остатков субсидий на поддержку творческой деятельности и техническое оснащение детских и кукольных театров из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2 19 25519 02 0000 150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Возврат остатков субсидий на поддержку отрасли культуры из бюджетов субъектов Российской Федерации</w:t>
            </w:r>
          </w:p>
        </w:tc>
      </w:tr>
      <w:tr w:rsidR="009B08A5" w:rsidRPr="00DF31D1" w:rsidTr="004F4414">
        <w:tc>
          <w:tcPr>
            <w:tcW w:w="2897" w:type="dxa"/>
            <w:vAlign w:val="center"/>
          </w:tcPr>
          <w:p w:rsidR="009B08A5" w:rsidRPr="00DF31D1" w:rsidRDefault="009B08A5" w:rsidP="004F44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857 </w:t>
            </w:r>
            <w:r w:rsidRPr="00DF31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2 19 90000 02 0000 150</w:t>
            </w:r>
          </w:p>
        </w:tc>
        <w:tc>
          <w:tcPr>
            <w:tcW w:w="6521" w:type="dxa"/>
          </w:tcPr>
          <w:p w:rsidR="009B08A5" w:rsidRPr="00DF31D1" w:rsidRDefault="009B08A5" w:rsidP="004F4414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F31D1">
              <w:rPr>
                <w:rFonts w:eastAsiaTheme="minorHAnsi"/>
                <w:sz w:val="24"/>
                <w:szCs w:val="24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</w:tbl>
    <w:p w:rsidR="009B08A5" w:rsidRPr="008D5EDC" w:rsidRDefault="009B08A5" w:rsidP="009B08A5"/>
    <w:p w:rsidR="00C16475" w:rsidRDefault="00C16475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C20E2" w:rsidRDefault="009C20E2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930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820"/>
        <w:gridCol w:w="1248"/>
        <w:gridCol w:w="594"/>
        <w:gridCol w:w="2268"/>
      </w:tblGrid>
      <w:tr w:rsidR="009C20E2" w:rsidRPr="000E46FD" w:rsidTr="00B62B2D">
        <w:tc>
          <w:tcPr>
            <w:tcW w:w="4820" w:type="dxa"/>
          </w:tcPr>
          <w:p w:rsidR="009C20E2" w:rsidRPr="000E46FD" w:rsidRDefault="009C20E2" w:rsidP="00B62B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C20E2" w:rsidRPr="000E46FD" w:rsidRDefault="009C20E2" w:rsidP="00B62B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248" w:type="dxa"/>
          </w:tcPr>
          <w:p w:rsidR="009C20E2" w:rsidRPr="000E46FD" w:rsidRDefault="009C20E2" w:rsidP="00B62B2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94" w:type="dxa"/>
          </w:tcPr>
          <w:p w:rsidR="009C20E2" w:rsidRPr="000E46FD" w:rsidRDefault="009C20E2" w:rsidP="00B62B2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268" w:type="dxa"/>
          </w:tcPr>
          <w:p w:rsidR="009C20E2" w:rsidRPr="000E46FD" w:rsidRDefault="009C20E2" w:rsidP="00B62B2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16475" w:rsidRPr="009B08A5" w:rsidRDefault="00C16475" w:rsidP="00AB022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C16475" w:rsidRPr="009B08A5" w:rsidSect="005A739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DD"/>
    <w:rsid w:val="000006CA"/>
    <w:rsid w:val="0000249A"/>
    <w:rsid w:val="00014CC6"/>
    <w:rsid w:val="000179EE"/>
    <w:rsid w:val="00017FF1"/>
    <w:rsid w:val="000208EC"/>
    <w:rsid w:val="0002201B"/>
    <w:rsid w:val="00023198"/>
    <w:rsid w:val="00030EB4"/>
    <w:rsid w:val="0003367C"/>
    <w:rsid w:val="00034EB4"/>
    <w:rsid w:val="0005123F"/>
    <w:rsid w:val="00057CBB"/>
    <w:rsid w:val="00070438"/>
    <w:rsid w:val="000723E6"/>
    <w:rsid w:val="0007750C"/>
    <w:rsid w:val="000A43C6"/>
    <w:rsid w:val="000A5356"/>
    <w:rsid w:val="000B0B38"/>
    <w:rsid w:val="000B218F"/>
    <w:rsid w:val="000E4A0B"/>
    <w:rsid w:val="000F28AC"/>
    <w:rsid w:val="001278AB"/>
    <w:rsid w:val="001474EC"/>
    <w:rsid w:val="00151B63"/>
    <w:rsid w:val="00153593"/>
    <w:rsid w:val="00153A5B"/>
    <w:rsid w:val="001640B6"/>
    <w:rsid w:val="00180CD0"/>
    <w:rsid w:val="001911C1"/>
    <w:rsid w:val="00197E97"/>
    <w:rsid w:val="001C0C5B"/>
    <w:rsid w:val="001C4682"/>
    <w:rsid w:val="001C4872"/>
    <w:rsid w:val="001D0F21"/>
    <w:rsid w:val="001D4244"/>
    <w:rsid w:val="001D4AE7"/>
    <w:rsid w:val="001F25DE"/>
    <w:rsid w:val="00205FE3"/>
    <w:rsid w:val="00227A5A"/>
    <w:rsid w:val="002368C9"/>
    <w:rsid w:val="0025673D"/>
    <w:rsid w:val="00261D0F"/>
    <w:rsid w:val="002640FB"/>
    <w:rsid w:val="00267155"/>
    <w:rsid w:val="00275839"/>
    <w:rsid w:val="00296B2C"/>
    <w:rsid w:val="002B2CF1"/>
    <w:rsid w:val="002C2D57"/>
    <w:rsid w:val="002C3301"/>
    <w:rsid w:val="002C5F5D"/>
    <w:rsid w:val="002D6BFF"/>
    <w:rsid w:val="002F19C9"/>
    <w:rsid w:val="002F6A51"/>
    <w:rsid w:val="003000AE"/>
    <w:rsid w:val="00301C4A"/>
    <w:rsid w:val="00306083"/>
    <w:rsid w:val="003134A3"/>
    <w:rsid w:val="00322505"/>
    <w:rsid w:val="003364BD"/>
    <w:rsid w:val="00337F9A"/>
    <w:rsid w:val="00341E76"/>
    <w:rsid w:val="003520D6"/>
    <w:rsid w:val="0035445F"/>
    <w:rsid w:val="0036072A"/>
    <w:rsid w:val="00363DB9"/>
    <w:rsid w:val="00374AC5"/>
    <w:rsid w:val="00375BC2"/>
    <w:rsid w:val="00386A0B"/>
    <w:rsid w:val="003942A4"/>
    <w:rsid w:val="00395FCD"/>
    <w:rsid w:val="003A487C"/>
    <w:rsid w:val="003B0ED0"/>
    <w:rsid w:val="003F09AF"/>
    <w:rsid w:val="004075A1"/>
    <w:rsid w:val="004212D8"/>
    <w:rsid w:val="00435D17"/>
    <w:rsid w:val="00435F00"/>
    <w:rsid w:val="00442705"/>
    <w:rsid w:val="004730E1"/>
    <w:rsid w:val="00477467"/>
    <w:rsid w:val="00482E2D"/>
    <w:rsid w:val="004832BA"/>
    <w:rsid w:val="004B6664"/>
    <w:rsid w:val="004B78C4"/>
    <w:rsid w:val="004C13AE"/>
    <w:rsid w:val="004D381E"/>
    <w:rsid w:val="004E7DCE"/>
    <w:rsid w:val="004F6737"/>
    <w:rsid w:val="00507D8C"/>
    <w:rsid w:val="005173E8"/>
    <w:rsid w:val="00523BDF"/>
    <w:rsid w:val="0052768B"/>
    <w:rsid w:val="00534DF8"/>
    <w:rsid w:val="0054440C"/>
    <w:rsid w:val="0054453A"/>
    <w:rsid w:val="005450CE"/>
    <w:rsid w:val="005A26FF"/>
    <w:rsid w:val="005A646E"/>
    <w:rsid w:val="005A739A"/>
    <w:rsid w:val="005B0F7C"/>
    <w:rsid w:val="005C41EF"/>
    <w:rsid w:val="005D6C36"/>
    <w:rsid w:val="005E5365"/>
    <w:rsid w:val="005F04C1"/>
    <w:rsid w:val="00624C80"/>
    <w:rsid w:val="006348CA"/>
    <w:rsid w:val="006424C0"/>
    <w:rsid w:val="00642E48"/>
    <w:rsid w:val="00654CB3"/>
    <w:rsid w:val="006640EC"/>
    <w:rsid w:val="00667050"/>
    <w:rsid w:val="00675478"/>
    <w:rsid w:val="006B768B"/>
    <w:rsid w:val="006C112A"/>
    <w:rsid w:val="006D042F"/>
    <w:rsid w:val="006E345E"/>
    <w:rsid w:val="006E4415"/>
    <w:rsid w:val="007166A1"/>
    <w:rsid w:val="00717D9B"/>
    <w:rsid w:val="00720A32"/>
    <w:rsid w:val="0072428B"/>
    <w:rsid w:val="00732002"/>
    <w:rsid w:val="0073212A"/>
    <w:rsid w:val="0074215C"/>
    <w:rsid w:val="007617DD"/>
    <w:rsid w:val="00771BCF"/>
    <w:rsid w:val="00787F12"/>
    <w:rsid w:val="00791ECC"/>
    <w:rsid w:val="007A16CD"/>
    <w:rsid w:val="007A5D64"/>
    <w:rsid w:val="007B4901"/>
    <w:rsid w:val="007D3F34"/>
    <w:rsid w:val="007D57E2"/>
    <w:rsid w:val="007E3D0B"/>
    <w:rsid w:val="007E58EE"/>
    <w:rsid w:val="007F467C"/>
    <w:rsid w:val="007F4CE5"/>
    <w:rsid w:val="007F4FAA"/>
    <w:rsid w:val="007F6E77"/>
    <w:rsid w:val="0081166A"/>
    <w:rsid w:val="00811704"/>
    <w:rsid w:val="00813491"/>
    <w:rsid w:val="00850D2D"/>
    <w:rsid w:val="0087332B"/>
    <w:rsid w:val="00874ABE"/>
    <w:rsid w:val="00880886"/>
    <w:rsid w:val="008842BE"/>
    <w:rsid w:val="0088686A"/>
    <w:rsid w:val="00897E44"/>
    <w:rsid w:val="008A1E9A"/>
    <w:rsid w:val="008A3411"/>
    <w:rsid w:val="008A7260"/>
    <w:rsid w:val="008B4174"/>
    <w:rsid w:val="008D0DCD"/>
    <w:rsid w:val="008D7CD2"/>
    <w:rsid w:val="008E6207"/>
    <w:rsid w:val="00910FD7"/>
    <w:rsid w:val="00914248"/>
    <w:rsid w:val="009160E0"/>
    <w:rsid w:val="009254F4"/>
    <w:rsid w:val="00930822"/>
    <w:rsid w:val="009414DF"/>
    <w:rsid w:val="00941AC3"/>
    <w:rsid w:val="00952786"/>
    <w:rsid w:val="00962076"/>
    <w:rsid w:val="00964AD2"/>
    <w:rsid w:val="00973844"/>
    <w:rsid w:val="009851F9"/>
    <w:rsid w:val="009A554B"/>
    <w:rsid w:val="009B08A5"/>
    <w:rsid w:val="009C20E2"/>
    <w:rsid w:val="009C5A94"/>
    <w:rsid w:val="009C5B9B"/>
    <w:rsid w:val="009E7BCC"/>
    <w:rsid w:val="009F3598"/>
    <w:rsid w:val="009F5EEA"/>
    <w:rsid w:val="009F640C"/>
    <w:rsid w:val="00A25CD5"/>
    <w:rsid w:val="00A418EA"/>
    <w:rsid w:val="00A47098"/>
    <w:rsid w:val="00A50F00"/>
    <w:rsid w:val="00A712B3"/>
    <w:rsid w:val="00A75501"/>
    <w:rsid w:val="00A81F8B"/>
    <w:rsid w:val="00A83AAC"/>
    <w:rsid w:val="00A93025"/>
    <w:rsid w:val="00A95C1B"/>
    <w:rsid w:val="00AA1D2C"/>
    <w:rsid w:val="00AB022B"/>
    <w:rsid w:val="00AD49C4"/>
    <w:rsid w:val="00AF44EF"/>
    <w:rsid w:val="00B11606"/>
    <w:rsid w:val="00B136B0"/>
    <w:rsid w:val="00B429E3"/>
    <w:rsid w:val="00B470DD"/>
    <w:rsid w:val="00B83A6F"/>
    <w:rsid w:val="00B86C39"/>
    <w:rsid w:val="00B901DB"/>
    <w:rsid w:val="00B95C87"/>
    <w:rsid w:val="00BB15FB"/>
    <w:rsid w:val="00BB5C41"/>
    <w:rsid w:val="00BE0B40"/>
    <w:rsid w:val="00BE3992"/>
    <w:rsid w:val="00BE6A47"/>
    <w:rsid w:val="00BF35DE"/>
    <w:rsid w:val="00BF5BDD"/>
    <w:rsid w:val="00C03391"/>
    <w:rsid w:val="00C16475"/>
    <w:rsid w:val="00C27B57"/>
    <w:rsid w:val="00C30949"/>
    <w:rsid w:val="00C333A4"/>
    <w:rsid w:val="00C40777"/>
    <w:rsid w:val="00C519AD"/>
    <w:rsid w:val="00C57911"/>
    <w:rsid w:val="00C6270A"/>
    <w:rsid w:val="00C654CE"/>
    <w:rsid w:val="00C66A9B"/>
    <w:rsid w:val="00C72F44"/>
    <w:rsid w:val="00C74344"/>
    <w:rsid w:val="00C761CC"/>
    <w:rsid w:val="00C91F30"/>
    <w:rsid w:val="00C93FCC"/>
    <w:rsid w:val="00C943C7"/>
    <w:rsid w:val="00C94F98"/>
    <w:rsid w:val="00CA6E9E"/>
    <w:rsid w:val="00CB4B3A"/>
    <w:rsid w:val="00CB5DC9"/>
    <w:rsid w:val="00CD56D6"/>
    <w:rsid w:val="00CE05DB"/>
    <w:rsid w:val="00CF1DC6"/>
    <w:rsid w:val="00D044B4"/>
    <w:rsid w:val="00D134B1"/>
    <w:rsid w:val="00D26461"/>
    <w:rsid w:val="00D318B2"/>
    <w:rsid w:val="00D3384A"/>
    <w:rsid w:val="00D34D11"/>
    <w:rsid w:val="00D67969"/>
    <w:rsid w:val="00D80C2B"/>
    <w:rsid w:val="00D84B55"/>
    <w:rsid w:val="00DB4CB6"/>
    <w:rsid w:val="00DC0E84"/>
    <w:rsid w:val="00DC3F1D"/>
    <w:rsid w:val="00DC62D1"/>
    <w:rsid w:val="00DD7662"/>
    <w:rsid w:val="00DE425F"/>
    <w:rsid w:val="00DF2178"/>
    <w:rsid w:val="00E04E52"/>
    <w:rsid w:val="00E1331F"/>
    <w:rsid w:val="00E16DB7"/>
    <w:rsid w:val="00E21BBD"/>
    <w:rsid w:val="00E222FF"/>
    <w:rsid w:val="00E37549"/>
    <w:rsid w:val="00E375B1"/>
    <w:rsid w:val="00E53BCB"/>
    <w:rsid w:val="00E94BC9"/>
    <w:rsid w:val="00E964E1"/>
    <w:rsid w:val="00EA28EC"/>
    <w:rsid w:val="00EA3E5C"/>
    <w:rsid w:val="00EC0E8F"/>
    <w:rsid w:val="00EC7104"/>
    <w:rsid w:val="00EC7B43"/>
    <w:rsid w:val="00ED6903"/>
    <w:rsid w:val="00EE069A"/>
    <w:rsid w:val="00EE5CBA"/>
    <w:rsid w:val="00F046CC"/>
    <w:rsid w:val="00F11435"/>
    <w:rsid w:val="00F14F17"/>
    <w:rsid w:val="00F22DB6"/>
    <w:rsid w:val="00F23C3A"/>
    <w:rsid w:val="00F266A1"/>
    <w:rsid w:val="00F4265D"/>
    <w:rsid w:val="00F4781C"/>
    <w:rsid w:val="00F62610"/>
    <w:rsid w:val="00F627E3"/>
    <w:rsid w:val="00F70056"/>
    <w:rsid w:val="00F80595"/>
    <w:rsid w:val="00F831F9"/>
    <w:rsid w:val="00F91318"/>
    <w:rsid w:val="00F93BBF"/>
    <w:rsid w:val="00F967DD"/>
    <w:rsid w:val="00FC6A6E"/>
    <w:rsid w:val="00FD7D35"/>
    <w:rsid w:val="00FF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44EF"/>
    <w:pPr>
      <w:widowControl/>
      <w:overflowPunct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customStyle="1" w:styleId="ConsPlusNormal">
    <w:name w:val="ConsPlusNormal"/>
    <w:rsid w:val="00742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A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1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2">
    <w:name w:val="Основной текст 22"/>
    <w:basedOn w:val="a"/>
    <w:rsid w:val="006348CA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AF44EF"/>
    <w:pPr>
      <w:widowControl/>
      <w:overflowPunct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customStyle="1" w:styleId="ConsPlusNormal">
    <w:name w:val="ConsPlusNormal"/>
    <w:rsid w:val="007421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A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A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C13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2">
    <w:name w:val="Основной текст 22"/>
    <w:basedOn w:val="a"/>
    <w:rsid w:val="006348CA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C45DE-18DC-4255-87C8-72BE5BF06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2020-03-02T13:21:00Z</cp:lastPrinted>
  <dcterms:created xsi:type="dcterms:W3CDTF">2020-01-28T08:04:00Z</dcterms:created>
  <dcterms:modified xsi:type="dcterms:W3CDTF">2020-03-05T08:09:00Z</dcterms:modified>
</cp:coreProperties>
</file>